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0183" w:rsidRDefault="00BB0183" w:rsidP="00BB0183">
      <w:pPr>
        <w:jc w:val="both"/>
        <w:rPr>
          <w:rFonts w:ascii="Times" w:hAnsi="Times" w:cs="Charter"/>
          <w:b/>
          <w:bCs/>
          <w:szCs w:val="16"/>
          <w:lang w:val="en-GB"/>
        </w:rPr>
      </w:pPr>
      <w:r>
        <w:rPr>
          <w:rFonts w:ascii="Times" w:hAnsi="Times" w:cs="Charter"/>
          <w:b/>
          <w:bCs/>
          <w:szCs w:val="16"/>
          <w:lang w:val="en-GB"/>
        </w:rPr>
        <w:t>Table s2: Association between individual MACE subtypes and MsWC in univariate analysis</w:t>
      </w:r>
    </w:p>
    <w:p w:rsidR="00BB0183" w:rsidRDefault="00BB0183" w:rsidP="00BB0183">
      <w:pPr>
        <w:jc w:val="both"/>
        <w:rPr>
          <w:rFonts w:ascii="Times" w:hAnsi="Times" w:cs="Charter"/>
          <w:b/>
          <w:bCs/>
          <w:szCs w:val="16"/>
          <w:lang w:val="en-GB"/>
        </w:rPr>
      </w:pP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43"/>
        <w:gridCol w:w="1063"/>
        <w:gridCol w:w="1438"/>
        <w:gridCol w:w="2012"/>
      </w:tblGrid>
      <w:tr w:rsidR="00BB0183" w:rsidTr="007D5683">
        <w:trPr>
          <w:trHeight w:val="240"/>
          <w:jc w:val="center"/>
        </w:trPr>
        <w:tc>
          <w:tcPr>
            <w:tcW w:w="2508" w:type="pct"/>
            <w:noWrap/>
            <w:vAlign w:val="bottom"/>
            <w:hideMark/>
          </w:tcPr>
          <w:p w:rsidR="00BB0183" w:rsidRPr="00AC0D72" w:rsidRDefault="00BB0183" w:rsidP="007D5683">
            <w:pPr>
              <w:rPr>
                <w:rFonts w:asciiTheme="minorHAnsi" w:hAnsiTheme="minorHAnsi"/>
                <w:lang w:val="en-US" w:eastAsia="en-US"/>
              </w:rPr>
            </w:pPr>
          </w:p>
        </w:tc>
        <w:tc>
          <w:tcPr>
            <w:tcW w:w="2492" w:type="pct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BB0183" w:rsidRDefault="00BB0183" w:rsidP="007D5683">
            <w:pPr>
              <w:jc w:val="center"/>
              <w:rPr>
                <w:rFonts w:ascii="Times Roman" w:hAnsi="Times Roman"/>
                <w:color w:val="000000"/>
                <w:szCs w:val="16"/>
                <w:lang w:val="en-GB" w:eastAsia="en-US"/>
              </w:rPr>
            </w:pPr>
            <w:r>
              <w:rPr>
                <w:rFonts w:ascii="Times Roman" w:hAnsi="Times Roman"/>
                <w:color w:val="000000"/>
                <w:szCs w:val="16"/>
                <w:lang w:val="en-GB" w:eastAsia="en-US"/>
              </w:rPr>
              <w:t>MsWC</w:t>
            </w:r>
          </w:p>
        </w:tc>
      </w:tr>
      <w:tr w:rsidR="00BB0183" w:rsidTr="007D5683">
        <w:trPr>
          <w:trHeight w:val="240"/>
          <w:jc w:val="center"/>
        </w:trPr>
        <w:tc>
          <w:tcPr>
            <w:tcW w:w="2508" w:type="pct"/>
            <w:noWrap/>
            <w:vAlign w:val="bottom"/>
            <w:hideMark/>
          </w:tcPr>
          <w:p w:rsidR="00BB0183" w:rsidRDefault="00BB0183" w:rsidP="007D5683">
            <w:pPr>
              <w:rPr>
                <w:rFonts w:asciiTheme="minorHAnsi" w:hAnsiTheme="minorHAnsi"/>
                <w:lang w:eastAsia="en-US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:rsidR="00BB0183" w:rsidRDefault="00BB0183" w:rsidP="007D5683">
            <w:pPr>
              <w:jc w:val="center"/>
              <w:rPr>
                <w:rFonts w:ascii="Times Roman" w:hAnsi="Times Roman"/>
                <w:color w:val="000000"/>
                <w:szCs w:val="16"/>
                <w:lang w:val="en-GB" w:eastAsia="en-US"/>
              </w:rPr>
            </w:pPr>
            <w:r>
              <w:rPr>
                <w:rFonts w:ascii="Times Roman" w:hAnsi="Times Roman"/>
                <w:color w:val="000000"/>
                <w:szCs w:val="16"/>
                <w:lang w:val="en-GB" w:eastAsia="en-US"/>
              </w:rPr>
              <w:t>HR</w:t>
            </w:r>
          </w:p>
        </w:tc>
        <w:tc>
          <w:tcPr>
            <w:tcW w:w="7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:rsidR="00BB0183" w:rsidRDefault="00BB0183" w:rsidP="007D5683">
            <w:pPr>
              <w:jc w:val="center"/>
              <w:rPr>
                <w:rFonts w:ascii="Times Roman" w:hAnsi="Times Roman"/>
                <w:color w:val="000000"/>
                <w:szCs w:val="16"/>
                <w:lang w:val="en-GB" w:eastAsia="en-US"/>
              </w:rPr>
            </w:pPr>
            <w:r>
              <w:rPr>
                <w:rFonts w:ascii="Times Roman" w:hAnsi="Times Roman"/>
                <w:color w:val="000000"/>
                <w:szCs w:val="16"/>
                <w:lang w:val="en-GB" w:eastAsia="en-US"/>
              </w:rPr>
              <w:t>P</w:t>
            </w:r>
          </w:p>
        </w:tc>
        <w:tc>
          <w:tcPr>
            <w:tcW w:w="11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:rsidR="00BB0183" w:rsidRDefault="00BB0183" w:rsidP="007D5683">
            <w:pPr>
              <w:jc w:val="center"/>
              <w:rPr>
                <w:rFonts w:ascii="Times Roman" w:hAnsi="Times Roman"/>
                <w:color w:val="000000"/>
                <w:szCs w:val="16"/>
                <w:lang w:val="en-GB" w:eastAsia="en-US"/>
              </w:rPr>
            </w:pPr>
            <w:r>
              <w:rPr>
                <w:rFonts w:ascii="Times Roman" w:hAnsi="Times Roman"/>
                <w:color w:val="000000"/>
                <w:szCs w:val="16"/>
                <w:lang w:val="en-GB" w:eastAsia="en-US"/>
              </w:rPr>
              <w:t>95% CI</w:t>
            </w:r>
          </w:p>
        </w:tc>
      </w:tr>
      <w:tr w:rsidR="00BB0183" w:rsidTr="007D5683">
        <w:trPr>
          <w:trHeight w:val="240"/>
          <w:jc w:val="center"/>
        </w:trPr>
        <w:tc>
          <w:tcPr>
            <w:tcW w:w="2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B0183" w:rsidRDefault="00BB0183" w:rsidP="007D5683">
            <w:pPr>
              <w:jc w:val="both"/>
              <w:rPr>
                <w:rFonts w:ascii="Times Roman" w:hAnsi="Times Roman"/>
                <w:color w:val="000000"/>
                <w:szCs w:val="16"/>
                <w:lang w:val="en-GB" w:eastAsia="en-US"/>
              </w:rPr>
            </w:pPr>
            <w:r>
              <w:rPr>
                <w:rFonts w:ascii="Times Roman" w:hAnsi="Times Roman"/>
                <w:color w:val="000000"/>
                <w:szCs w:val="16"/>
                <w:lang w:val="en-GB" w:eastAsia="en-US"/>
              </w:rPr>
              <w:t>CHD</w:t>
            </w:r>
          </w:p>
        </w:tc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B0183" w:rsidRDefault="00BB0183" w:rsidP="007D5683">
            <w:pPr>
              <w:jc w:val="center"/>
              <w:rPr>
                <w:rFonts w:ascii="Times Roman" w:hAnsi="Times Roman"/>
                <w:color w:val="000000"/>
                <w:szCs w:val="16"/>
                <w:lang w:val="en-GB" w:eastAsia="en-US"/>
              </w:rPr>
            </w:pPr>
            <w:r>
              <w:rPr>
                <w:rFonts w:ascii="Times Roman" w:hAnsi="Times Roman"/>
                <w:color w:val="000000"/>
                <w:szCs w:val="16"/>
                <w:lang w:val="en-GB" w:eastAsia="en-US"/>
              </w:rPr>
              <w:t>1.61</w:t>
            </w:r>
          </w:p>
        </w:tc>
        <w:tc>
          <w:tcPr>
            <w:tcW w:w="7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B0183" w:rsidRDefault="00BB0183" w:rsidP="007D5683">
            <w:pPr>
              <w:jc w:val="center"/>
              <w:rPr>
                <w:rFonts w:ascii="Times Roman" w:hAnsi="Times Roman"/>
                <w:b/>
                <w:bCs/>
                <w:color w:val="000000"/>
                <w:szCs w:val="16"/>
                <w:lang w:val="en-GB" w:eastAsia="en-US"/>
              </w:rPr>
            </w:pPr>
            <w:r>
              <w:rPr>
                <w:rFonts w:ascii="Times Roman" w:hAnsi="Times Roman"/>
                <w:b/>
                <w:bCs/>
                <w:color w:val="000000"/>
                <w:szCs w:val="16"/>
                <w:lang w:val="en-GB" w:eastAsia="en-US"/>
              </w:rPr>
              <w:t>&lt; 0.01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B0183" w:rsidRDefault="00BB0183" w:rsidP="007D5683">
            <w:pPr>
              <w:jc w:val="center"/>
              <w:rPr>
                <w:rFonts w:ascii="Times Roman" w:hAnsi="Times Roman"/>
                <w:color w:val="000000"/>
                <w:szCs w:val="16"/>
                <w:lang w:val="en-GB" w:eastAsia="en-US"/>
              </w:rPr>
            </w:pPr>
            <w:r>
              <w:rPr>
                <w:rFonts w:ascii="Times Roman" w:hAnsi="Times Roman"/>
                <w:color w:val="000000"/>
                <w:szCs w:val="16"/>
                <w:lang w:val="en-GB" w:eastAsia="en-US"/>
              </w:rPr>
              <w:t>1.17-2.21</w:t>
            </w:r>
          </w:p>
        </w:tc>
      </w:tr>
      <w:tr w:rsidR="00BB0183" w:rsidTr="007D5683">
        <w:trPr>
          <w:trHeight w:val="240"/>
          <w:jc w:val="center"/>
        </w:trPr>
        <w:tc>
          <w:tcPr>
            <w:tcW w:w="250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B0183" w:rsidRDefault="00BB0183" w:rsidP="007D5683">
            <w:pPr>
              <w:jc w:val="both"/>
              <w:rPr>
                <w:rFonts w:ascii="Times Roman" w:hAnsi="Times Roman"/>
                <w:color w:val="000000"/>
                <w:szCs w:val="16"/>
                <w:lang w:val="en-GB" w:eastAsia="en-US"/>
              </w:rPr>
            </w:pPr>
            <w:r>
              <w:rPr>
                <w:rFonts w:ascii="Times Roman" w:hAnsi="Times Roman"/>
                <w:color w:val="000000"/>
                <w:szCs w:val="16"/>
                <w:lang w:val="en-GB" w:eastAsia="en-US"/>
              </w:rPr>
              <w:t>PAD 3-4</w:t>
            </w:r>
          </w:p>
        </w:tc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B0183" w:rsidRDefault="00BB0183" w:rsidP="007D5683">
            <w:pPr>
              <w:jc w:val="center"/>
              <w:rPr>
                <w:rFonts w:ascii="Times Roman" w:hAnsi="Times Roman"/>
                <w:color w:val="000000"/>
                <w:szCs w:val="16"/>
                <w:lang w:val="en-GB" w:eastAsia="en-US"/>
              </w:rPr>
            </w:pPr>
            <w:r>
              <w:rPr>
                <w:rFonts w:ascii="Times Roman" w:hAnsi="Times Roman"/>
                <w:color w:val="000000"/>
                <w:szCs w:val="16"/>
                <w:lang w:val="en-GB" w:eastAsia="en-US"/>
              </w:rPr>
              <w:t>1.79</w:t>
            </w:r>
          </w:p>
        </w:tc>
        <w:tc>
          <w:tcPr>
            <w:tcW w:w="7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B0183" w:rsidRDefault="00BB0183" w:rsidP="007D5683">
            <w:pPr>
              <w:jc w:val="center"/>
              <w:rPr>
                <w:rFonts w:ascii="Times Roman" w:hAnsi="Times Roman"/>
                <w:b/>
                <w:bCs/>
                <w:color w:val="000000"/>
                <w:szCs w:val="16"/>
                <w:lang w:val="en-GB" w:eastAsia="en-US"/>
              </w:rPr>
            </w:pPr>
            <w:r>
              <w:rPr>
                <w:rFonts w:ascii="Times Roman" w:hAnsi="Times Roman"/>
                <w:b/>
                <w:bCs/>
                <w:color w:val="000000"/>
                <w:szCs w:val="16"/>
                <w:lang w:val="en-GB" w:eastAsia="en-US"/>
              </w:rPr>
              <w:t>0.04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B0183" w:rsidRDefault="00BB0183" w:rsidP="007D5683">
            <w:pPr>
              <w:jc w:val="center"/>
              <w:rPr>
                <w:rFonts w:ascii="Times Roman" w:hAnsi="Times Roman"/>
                <w:color w:val="000000"/>
                <w:szCs w:val="16"/>
                <w:lang w:val="en-GB" w:eastAsia="en-US"/>
              </w:rPr>
            </w:pPr>
            <w:r>
              <w:rPr>
                <w:rFonts w:ascii="Times Roman" w:hAnsi="Times Roman"/>
                <w:color w:val="000000"/>
                <w:szCs w:val="16"/>
                <w:lang w:val="en-GB" w:eastAsia="en-US"/>
              </w:rPr>
              <w:t>1.03-3.08</w:t>
            </w:r>
          </w:p>
        </w:tc>
      </w:tr>
      <w:tr w:rsidR="00BB0183" w:rsidTr="007D5683">
        <w:trPr>
          <w:trHeight w:val="240"/>
          <w:jc w:val="center"/>
        </w:trPr>
        <w:tc>
          <w:tcPr>
            <w:tcW w:w="250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B0183" w:rsidRDefault="00BB0183" w:rsidP="007D5683">
            <w:pPr>
              <w:jc w:val="both"/>
              <w:rPr>
                <w:rFonts w:ascii="Times Roman" w:hAnsi="Times Roman"/>
                <w:color w:val="000000"/>
                <w:szCs w:val="16"/>
                <w:lang w:val="en-GB" w:eastAsia="en-US"/>
              </w:rPr>
            </w:pPr>
            <w:r>
              <w:rPr>
                <w:rFonts w:ascii="Times Roman" w:hAnsi="Times Roman"/>
                <w:color w:val="000000"/>
                <w:szCs w:val="16"/>
                <w:lang w:val="en-GB" w:eastAsia="en-US"/>
              </w:rPr>
              <w:t>Stroke</w:t>
            </w:r>
          </w:p>
        </w:tc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B0183" w:rsidRDefault="00BB0183" w:rsidP="007D5683">
            <w:pPr>
              <w:jc w:val="center"/>
              <w:rPr>
                <w:rFonts w:ascii="Times Roman" w:hAnsi="Times Roman"/>
                <w:color w:val="000000"/>
                <w:szCs w:val="16"/>
                <w:lang w:val="en-GB" w:eastAsia="en-US"/>
              </w:rPr>
            </w:pPr>
            <w:r>
              <w:rPr>
                <w:rFonts w:ascii="Times Roman" w:hAnsi="Times Roman"/>
                <w:color w:val="000000"/>
                <w:szCs w:val="16"/>
                <w:lang w:val="en-GB" w:eastAsia="en-US"/>
              </w:rPr>
              <w:t>0.74</w:t>
            </w:r>
          </w:p>
        </w:tc>
        <w:tc>
          <w:tcPr>
            <w:tcW w:w="7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B0183" w:rsidRDefault="00BB0183" w:rsidP="007D5683">
            <w:pPr>
              <w:jc w:val="center"/>
              <w:rPr>
                <w:rFonts w:ascii="Times Roman" w:hAnsi="Times Roman"/>
                <w:color w:val="000000"/>
                <w:szCs w:val="16"/>
                <w:lang w:val="en-GB" w:eastAsia="en-US"/>
              </w:rPr>
            </w:pPr>
            <w:r>
              <w:rPr>
                <w:rFonts w:ascii="Times Roman" w:hAnsi="Times Roman"/>
                <w:color w:val="000000"/>
                <w:szCs w:val="16"/>
                <w:lang w:val="en-GB" w:eastAsia="en-US"/>
              </w:rPr>
              <w:t>0.14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B0183" w:rsidRDefault="00BB0183" w:rsidP="007D5683">
            <w:pPr>
              <w:jc w:val="center"/>
              <w:rPr>
                <w:rFonts w:ascii="Times Roman" w:hAnsi="Times Roman"/>
                <w:color w:val="000000"/>
                <w:szCs w:val="16"/>
                <w:lang w:val="en-GB" w:eastAsia="en-US"/>
              </w:rPr>
            </w:pPr>
            <w:r>
              <w:rPr>
                <w:rFonts w:ascii="Times Roman" w:hAnsi="Times Roman"/>
                <w:color w:val="000000"/>
                <w:szCs w:val="16"/>
                <w:lang w:val="en-GB" w:eastAsia="en-US"/>
              </w:rPr>
              <w:t>0.50-1.11</w:t>
            </w:r>
          </w:p>
        </w:tc>
      </w:tr>
      <w:tr w:rsidR="00BB0183" w:rsidTr="007D5683">
        <w:trPr>
          <w:trHeight w:val="250"/>
          <w:jc w:val="center"/>
        </w:trPr>
        <w:tc>
          <w:tcPr>
            <w:tcW w:w="250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B0183" w:rsidRDefault="00BB0183" w:rsidP="007D5683">
            <w:pPr>
              <w:jc w:val="both"/>
              <w:rPr>
                <w:rFonts w:ascii="Times Roman" w:hAnsi="Times Roman"/>
                <w:color w:val="000000"/>
                <w:szCs w:val="16"/>
                <w:lang w:val="en-GB" w:eastAsia="en-US"/>
              </w:rPr>
            </w:pPr>
            <w:r>
              <w:rPr>
                <w:rFonts w:ascii="Times Roman" w:hAnsi="Times Roman"/>
                <w:color w:val="000000"/>
                <w:szCs w:val="16"/>
                <w:lang w:val="en-GB" w:eastAsia="en-US"/>
              </w:rPr>
              <w:t xml:space="preserve">HF </w:t>
            </w:r>
          </w:p>
        </w:tc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B0183" w:rsidRDefault="00BB0183" w:rsidP="007D5683">
            <w:pPr>
              <w:jc w:val="center"/>
              <w:rPr>
                <w:rFonts w:ascii="Times Roman" w:hAnsi="Times Roman"/>
                <w:color w:val="000000"/>
                <w:szCs w:val="16"/>
                <w:lang w:val="en-GB" w:eastAsia="en-US"/>
              </w:rPr>
            </w:pPr>
            <w:r>
              <w:rPr>
                <w:rFonts w:ascii="Times Roman" w:hAnsi="Times Roman"/>
                <w:color w:val="000000"/>
                <w:szCs w:val="16"/>
                <w:lang w:val="en-GB" w:eastAsia="en-US"/>
              </w:rPr>
              <w:t>1.12</w:t>
            </w:r>
          </w:p>
        </w:tc>
        <w:tc>
          <w:tcPr>
            <w:tcW w:w="7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B0183" w:rsidRDefault="00BB0183" w:rsidP="007D5683">
            <w:pPr>
              <w:jc w:val="center"/>
              <w:rPr>
                <w:rFonts w:ascii="Times Roman" w:hAnsi="Times Roman"/>
                <w:color w:val="000000"/>
                <w:szCs w:val="16"/>
                <w:lang w:val="en-GB" w:eastAsia="en-US"/>
              </w:rPr>
            </w:pPr>
            <w:r>
              <w:rPr>
                <w:rFonts w:ascii="Times Roman" w:hAnsi="Times Roman"/>
                <w:color w:val="000000"/>
                <w:szCs w:val="16"/>
                <w:lang w:val="en-GB" w:eastAsia="en-US"/>
              </w:rPr>
              <w:t>0.42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B0183" w:rsidRDefault="00BB0183" w:rsidP="007D5683">
            <w:pPr>
              <w:jc w:val="center"/>
              <w:rPr>
                <w:rFonts w:ascii="Times Roman" w:hAnsi="Times Roman"/>
                <w:color w:val="000000"/>
                <w:szCs w:val="16"/>
                <w:lang w:val="en-GB" w:eastAsia="en-US"/>
              </w:rPr>
            </w:pPr>
            <w:r>
              <w:rPr>
                <w:rFonts w:ascii="Times Roman" w:hAnsi="Times Roman"/>
                <w:color w:val="000000"/>
                <w:szCs w:val="16"/>
                <w:lang w:val="en-GB" w:eastAsia="en-US"/>
              </w:rPr>
              <w:t>0.80-1.71</w:t>
            </w:r>
          </w:p>
        </w:tc>
      </w:tr>
    </w:tbl>
    <w:p w:rsidR="00BB0183" w:rsidRDefault="00BB0183" w:rsidP="00BB0183">
      <w:pPr>
        <w:widowControl w:val="0"/>
        <w:autoSpaceDE w:val="0"/>
        <w:autoSpaceDN w:val="0"/>
        <w:adjustRightInd w:val="0"/>
        <w:jc w:val="both"/>
        <w:rPr>
          <w:rFonts w:ascii="Times" w:hAnsi="Times" w:cs="Charter"/>
          <w:sz w:val="18"/>
          <w:szCs w:val="18"/>
          <w:lang w:val="en-GB"/>
        </w:rPr>
      </w:pPr>
      <w:r>
        <w:rPr>
          <w:rFonts w:ascii="Times" w:hAnsi="Times" w:cs="Charter"/>
          <w:sz w:val="18"/>
          <w:szCs w:val="18"/>
          <w:lang w:val="en-GB"/>
        </w:rPr>
        <w:t xml:space="preserve">MsWC: waist circumference </w:t>
      </w:r>
      <w:r>
        <w:rPr>
          <w:rFonts w:ascii="Times" w:eastAsia="SimSun" w:hAnsi="Times" w:cs="SimSun"/>
          <w:sz w:val="18"/>
          <w:szCs w:val="18"/>
          <w:lang w:val="en-GB"/>
        </w:rPr>
        <w:t>&gt;</w:t>
      </w:r>
      <w:r>
        <w:rPr>
          <w:rFonts w:ascii="Times" w:hAnsi="Times" w:cs="Charter"/>
          <w:sz w:val="18"/>
          <w:szCs w:val="18"/>
          <w:lang w:val="en-GB"/>
        </w:rPr>
        <w:t xml:space="preserve"> 102 cm in men </w:t>
      </w:r>
      <w:r>
        <w:rPr>
          <w:rFonts w:ascii="Times" w:eastAsia="SimSun" w:hAnsi="Times" w:cs="SimSun"/>
          <w:sz w:val="18"/>
          <w:szCs w:val="18"/>
          <w:lang w:val="en-GB"/>
        </w:rPr>
        <w:t>&gt;</w:t>
      </w:r>
      <w:r>
        <w:rPr>
          <w:rFonts w:ascii="Times" w:hAnsi="Times" w:cs="Charter"/>
          <w:sz w:val="18"/>
          <w:szCs w:val="18"/>
          <w:lang w:val="en-GB"/>
        </w:rPr>
        <w:t xml:space="preserve"> 88 cm in women; MACE: major adverse cardiovascular events; CHD: coronary heart disease; PAD 3-4: peripheral arterial disease, stage 3 or 4 according to the classification of Leriche and Fontaine; CHF: congestive heart failure.</w:t>
      </w:r>
    </w:p>
    <w:p w:rsidR="00167D7A" w:rsidRDefault="00167D7A">
      <w:bookmarkStart w:id="0" w:name="_GoBack"/>
      <w:bookmarkEnd w:id="0"/>
    </w:p>
    <w:sectPr w:rsidR="00167D7A" w:rsidSect="000A459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harter">
    <w:panose1 w:val="02040503050506020203"/>
    <w:charset w:val="00"/>
    <w:family w:val="roman"/>
    <w:pitch w:val="variable"/>
    <w:sig w:usb0="800000AF" w:usb1="1000204A" w:usb2="00000000" w:usb3="00000000" w:csb0="00000011" w:csb1="00000000"/>
  </w:font>
  <w:font w:name="Times Roman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183"/>
    <w:rsid w:val="000A4592"/>
    <w:rsid w:val="00167D7A"/>
    <w:rsid w:val="00BB0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6D76B0-DC81-534E-AE67-3AAA983CF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B0183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415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</dc:creator>
  <cp:keywords/>
  <dc:description/>
  <cp:lastModifiedBy>Arnaud</cp:lastModifiedBy>
  <cp:revision>1</cp:revision>
  <dcterms:created xsi:type="dcterms:W3CDTF">2019-11-05T15:54:00Z</dcterms:created>
  <dcterms:modified xsi:type="dcterms:W3CDTF">2019-11-05T15:54:00Z</dcterms:modified>
</cp:coreProperties>
</file>